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E6C4" w14:textId="375564FA" w:rsidR="00BF44FD" w:rsidRDefault="00335757" w:rsidP="007D00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77F69" wp14:editId="5CE42467">
                <wp:simplePos x="0" y="0"/>
                <wp:positionH relativeFrom="column">
                  <wp:posOffset>3611880</wp:posOffset>
                </wp:positionH>
                <wp:positionV relativeFrom="paragraph">
                  <wp:posOffset>-472440</wp:posOffset>
                </wp:positionV>
                <wp:extent cx="3139440" cy="928116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9440" cy="9281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B7403" w14:textId="7AA776BB" w:rsidR="00303E9A" w:rsidRPr="00A55611" w:rsidRDefault="00303E9A" w:rsidP="009C4F36">
                            <w:pPr>
                              <w:rPr>
                                <w:rFonts w:ascii="Bahnschrift Light" w:hAnsi="Bahnschrift Light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A55611">
                              <w:rPr>
                                <w:rFonts w:ascii="Bahnschrift Light" w:hAnsi="Bahnschrift Light"/>
                                <w:i/>
                                <w:iCs/>
                                <w:sz w:val="56"/>
                                <w:szCs w:val="56"/>
                              </w:rPr>
                              <w:t>DATA HARVESTING: USING PERFORM DATA TO FORM QUALITY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77F69" id="Rectangle 2" o:spid="_x0000_s1026" style="position:absolute;margin-left:284.4pt;margin-top:-37.2pt;width:247.2pt;height:7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" fillcolor="#323e4f [2415]" strokecolor="#09101d [484]" strokeweight="1pt">
                <v:path arrowok="t"/>
                <v:textbox>
                  <w:txbxContent>
                    <w:p w14:paraId="514B7403" w14:textId="7AA776BB" w:rsidR="00303E9A" w:rsidRPr="00A55611" w:rsidRDefault="00303E9A" w:rsidP="009C4F36">
                      <w:pPr>
                        <w:rPr>
                          <w:rFonts w:ascii="Bahnschrift Light" w:hAnsi="Bahnschrift Light"/>
                          <w:i/>
                          <w:iCs/>
                          <w:sz w:val="56"/>
                          <w:szCs w:val="56"/>
                        </w:rPr>
                      </w:pPr>
                      <w:r w:rsidRPr="00A55611">
                        <w:rPr>
                          <w:rFonts w:ascii="Bahnschrift Light" w:hAnsi="Bahnschrift Light"/>
                          <w:i/>
                          <w:iCs/>
                          <w:sz w:val="56"/>
                          <w:szCs w:val="56"/>
                        </w:rPr>
                        <w:t>DATA HARVESTING: USING PERFORM DATA TO FORM QUALITY REPORTS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6476A4" wp14:editId="77DB3F76">
                <wp:simplePos x="0" y="0"/>
                <wp:positionH relativeFrom="column">
                  <wp:posOffset>-769620</wp:posOffset>
                </wp:positionH>
                <wp:positionV relativeFrom="paragraph">
                  <wp:posOffset>243840</wp:posOffset>
                </wp:positionV>
                <wp:extent cx="4191000" cy="8564880"/>
                <wp:effectExtent l="0" t="0" r="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8564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36793" w14:textId="7D597AE1" w:rsidR="00303E9A" w:rsidRPr="00A55611" w:rsidRDefault="00303E9A" w:rsidP="009C4F36">
                            <w:pPr>
                              <w:jc w:val="center"/>
                              <w:rPr>
                                <w:rFonts w:ascii="Bahnschrift Light" w:hAnsi="Bahnschrift Light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i/>
                                <w:iCs/>
                                <w:sz w:val="72"/>
                                <w:szCs w:val="72"/>
                              </w:rPr>
                              <w:t>MSTCVS Surgeons Quality Committee-Approved DQR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476A4" id="Rectangle 1" o:spid="_x0000_s1027" style="position:absolute;margin-left:-60.6pt;margin-top:19.2pt;width:330pt;height:67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" fillcolor="#2f5496 [2404]" strokecolor="#09101d [484]" strokeweight="1pt">
                <v:path arrowok="t"/>
                <v:textbox>
                  <w:txbxContent>
                    <w:p w14:paraId="66136793" w14:textId="7D597AE1" w:rsidR="00303E9A" w:rsidRPr="00A55611" w:rsidRDefault="00303E9A" w:rsidP="009C4F36">
                      <w:pPr>
                        <w:jc w:val="center"/>
                        <w:rPr>
                          <w:rFonts w:ascii="Bahnschrift Light" w:hAnsi="Bahnschrift Light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="Bahnschrift Light" w:hAnsi="Bahnschrift Light"/>
                          <w:i/>
                          <w:iCs/>
                          <w:sz w:val="72"/>
                          <w:szCs w:val="72"/>
                        </w:rPr>
                        <w:t>MSTCVS Surgeons Quality Committee-Approved DQR Project</w:t>
                      </w:r>
                    </w:p>
                  </w:txbxContent>
                </v:textbox>
              </v:rect>
            </w:pict>
          </mc:Fallback>
        </mc:AlternateContent>
      </w:r>
    </w:p>
    <w:p w14:paraId="032ED6EA" w14:textId="474C1F09" w:rsidR="00BF44FD" w:rsidRDefault="00BF44F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18F32D16" w14:textId="77777777" w:rsidR="007D0040" w:rsidRPr="007D0040" w:rsidRDefault="007D0040" w:rsidP="007D00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7FB31D" w14:textId="5A632105" w:rsidR="007D0040" w:rsidRPr="007D0040" w:rsidRDefault="007D0040" w:rsidP="007D004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2FC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14:ligatures w14:val="none"/>
        </w:rPr>
        <w:t> </w:t>
      </w:r>
      <w:r w:rsidR="009A52FC" w:rsidRPr="00F91D3E"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  <w:t>2024</w:t>
      </w:r>
      <w:r w:rsidR="009A52FC" w:rsidRPr="009A52FC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Perfusion Pay 4 Performance: Leveraging PERForm Data for Quality Improvement</w:t>
      </w:r>
    </w:p>
    <w:p w14:paraId="15072512" w14:textId="221FD419" w:rsidR="007D0040" w:rsidRPr="007D0040" w:rsidRDefault="007D0040" w:rsidP="007D004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Background: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882D3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The Michigan Society of Thoracic and Cardiovascular Surgeons Quality Collaborative (MSTCVS</w:t>
      </w:r>
      <w:r w:rsidR="00923D5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-</w:t>
      </w:r>
      <w:r w:rsidR="00882D3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QC) recognizes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importance of using PERForm data to generate quality </w:t>
      </w:r>
      <w:r w:rsidR="00536342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benchmarked</w:t>
      </w:r>
      <w:r w:rsidR="0053634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reports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to </w:t>
      </w:r>
      <w:r w:rsidR="00335757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help clinicians make evidence-based practice decisions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.</w:t>
      </w:r>
      <w:r w:rsidR="00335757" w:rsidRPr="00335757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Since its inception, </w:t>
      </w:r>
      <w:r w:rsidR="00536342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the</w:t>
      </w:r>
      <w:r w:rsidR="0053634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PERForm</w:t>
      </w:r>
      <w:r w:rsidR="0053634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536342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database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has accumulated over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100</w:t>
      </w:r>
      <w:r w:rsidRPr="007D0040">
        <w:rPr>
          <w:rFonts w:ascii="Calibri" w:eastAsia="Times New Roman" w:hAnsi="Calibri" w:cs="Calibri"/>
          <w:color w:val="000000" w:themeColor="text1"/>
          <w:kern w:val="0"/>
          <w:sz w:val="26"/>
          <w:szCs w:val="26"/>
          <w14:ligatures w14:val="none"/>
        </w:rPr>
        <w:t xml:space="preserve">,000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records for adult cardiac surgical operations utilizing cardiopulmonary bypass.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This rich database</w:t>
      </w:r>
      <w:r w:rsidRPr="009A52FC">
        <w:rPr>
          <w:rFonts w:ascii="Calibri" w:eastAsia="Times New Roman" w:hAnsi="Calibri" w:cs="Calibri"/>
          <w:strike/>
          <w:color w:val="000000"/>
          <w:kern w:val="0"/>
          <w:sz w:val="26"/>
          <w:szCs w:val="26"/>
          <w14:ligatures w14:val="none"/>
        </w:rPr>
        <w:t xml:space="preserve"> </w:t>
      </w:r>
      <w:r w:rsidR="009A52FC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allows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perfusionists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and surgeons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to review data over time and implement changes in practice to improve patient</w:t>
      </w:r>
      <w:r w:rsidR="0053634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care and outcomes. The approved 2024</w:t>
      </w:r>
      <w:r w:rsidR="00882D3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Blue Cross Blue Shield of Michigan Hospital</w:t>
      </w:r>
      <w:r w:rsidR="0053634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Pay-4-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Performance</w:t>
      </w:r>
      <w:r w:rsidR="004D424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(P4P)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project aims to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advance the accuracy and reliability of PERForm data.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By leveraging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analytical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tools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“PERForm tools” (e.g.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,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Hybrid Analytics, PERForm Metrics Library) provided through our vendor partner,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this project will help Chiefs or a Designated 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Perfusionist </w:t>
      </w:r>
      <w:r w:rsidR="0053634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use the registry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as a powerful tool to drive positive change within </w:t>
      </w:r>
      <w:r w:rsidR="004D424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their teams. This P4P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project will aid in identifying how to use PERForm tools to </w:t>
      </w:r>
      <w:r w:rsidR="009B587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validate data entries,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generate a </w:t>
      </w:r>
      <w:r w:rsidR="009B587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data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quality report and use the data as a representative force to implement </w:t>
      </w:r>
      <w:r w:rsidR="009B587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collaboration, communication, quality assurance and quality improvement with the entire cardiac team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. The goal of this project is to improve the quality of care by each institution </w:t>
      </w:r>
      <w:r w:rsidR="00536342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by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targeting a goal of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100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% of cases without missing values for </w:t>
      </w:r>
      <w:r w:rsidR="0014665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following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PERForm metric</w:t>
      </w:r>
      <w:r w:rsidR="0014665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: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Intraoperative Insulin Usage, Highest Intraoperative Glucose, Cardiotomy Suction Used and Timing of Cardiotomy Suction Termination.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4D424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P4P also seeks to familiarize perfusionists with the PERForm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tools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(i.e., Hybrid Analytics)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791337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as a means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</w:t>
      </w:r>
      <w:r w:rsidR="0014665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o build data tables and create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Microsoft E</w:t>
      </w:r>
      <w:r w:rsidR="0014665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xcel graphs to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enhance team collaboration by identifying areas of potential improvement</w:t>
      </w:r>
      <w:r w:rsidR="003732A4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and validate areas of success</w:t>
      </w:r>
      <w:r w:rsidR="0074790B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.</w:t>
      </w:r>
    </w:p>
    <w:p w14:paraId="4E25EC98" w14:textId="66438A24" w:rsidR="007D0040" w:rsidRPr="007D0040" w:rsidRDefault="007D0040" w:rsidP="007D004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Process:</w:t>
      </w:r>
      <w:r w:rsidR="00791337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The C</w:t>
      </w:r>
      <w:r w:rsidR="009A52FC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hief or D</w:t>
      </w:r>
      <w:r w:rsidR="00923D5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esignated P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erfusionist with access to the Data Quality Report (DQR) will generate and analyze </w:t>
      </w:r>
      <w:r w:rsidR="009A52FC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cardiopulmonary bypass cases with surgery dates ranging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from January 1, 2024, to Sept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ember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30, 2024. They will be responsible for ensuring that all 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submitted records identified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in the DQR have complete and accurate data entered for the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following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fields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: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Intraoperative Insulin Usage, Highest Intraoperative Glucose, Cardiotomy Suction Used, </w:t>
      </w:r>
      <w:r w:rsidR="0014665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and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Timing for Cardiotomy Suction Termination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.</w:t>
      </w:r>
      <w:r w:rsidR="009A52FC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Once the DQR is reviewed and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100%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validation of data verified,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the Chief or Designated Perfusionist with access to the Hybrid Analytic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 will use the tool to extract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data </w:t>
      </w:r>
      <w:r w:rsidR="00F91D3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tables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3B343C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of </w:t>
      </w:r>
      <w:r w:rsidR="0087467B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previously </w:t>
      </w:r>
      <w:r w:rsidR="003B343C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listed metrics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encompassing all </w:t>
      </w:r>
      <w:r w:rsidR="009A52FC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those</w:t>
      </w:r>
      <w:r w:rsidR="009A52FC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patients</w:t>
      </w:r>
      <w:r w:rsidR="009A52FC" w:rsidRPr="009A52FC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 xml:space="preserve"> </w:t>
      </w:r>
      <w:r w:rsidR="009A52FC"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with dates of surgery ranging</w:t>
      </w:r>
      <w:r w:rsidRPr="00F91D3E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from January 1, 2024, to Sept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ember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30, 2024. Once the </w:t>
      </w:r>
      <w:r w:rsidR="0087467B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data tables and graphs are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compiled, a</w:t>
      </w:r>
      <w:r w:rsid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cardiac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team meeting will be scheduled.</w:t>
      </w:r>
      <w:r w:rsidR="00791337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team will discuss </w:t>
      </w:r>
      <w:r w:rsidR="003B343C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what</w:t>
      </w:r>
      <w:r w:rsidR="009A52FC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 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changes and improvements can be made and brainstorm ideas to improve the quality metric.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Each site will need to submit the following 2 collective metrics from the PERForm Metrics Library: 1) Intraoperative Insulin Missing and 2) Intraoperative Glucose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lastRenderedPageBreak/>
        <w:t xml:space="preserve">&gt;= 180 mg/dL. Each site will need to submit the following 4 metrics from the PERForm Data Tables: 1) Intraoperative Insulin Used 2) Highest Intraoperative Glucose 3) Cardiotomy Suction Used 4) Timing for Cardiotomy Suction Termination. These will all need to be submitted as both Excel </w:t>
      </w:r>
      <w:r w:rsidR="00923D5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sheets and graphs.  Each sites Surgeon Champion and Chief P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erfusionist will need to sign off on sheet provided stating each metric has been reviewed by both parties.</w:t>
      </w:r>
    </w:p>
    <w:p w14:paraId="46F60620" w14:textId="77777777" w:rsidR="00303E9A" w:rsidRDefault="007D0040" w:rsidP="007D0040">
      <w:pPr>
        <w:spacing w:line="240" w:lineRule="auto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</w:t>
      </w:r>
      <w:r w:rsidR="00791337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n example of this process: </w:t>
      </w:r>
    </w:p>
    <w:p w14:paraId="7C33FDC0" w14:textId="77777777" w:rsidR="00303E9A" w:rsidRPr="00303E9A" w:rsidRDefault="00D733F9" w:rsidP="00303E9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Chief </w:t>
      </w:r>
      <w:r w:rsidR="00923D52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</w:t>
      </w:r>
      <w:r w:rsidR="00882D38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erfusionist 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will use </w:t>
      </w:r>
      <w:r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the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PERForm Metrics Library to review the metric </w:t>
      </w:r>
      <w:r w:rsidRPr="00303E9A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Intraoperative Insulin Drip Used is Missing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and </w:t>
      </w:r>
      <w:r w:rsidRPr="00303E9A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Intraoperative Glucose is greater than or equal to 180</w:t>
      </w:r>
      <w:r w:rsidR="00923D52" w:rsidRPr="00303E9A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mg/dL</w:t>
      </w:r>
      <w:r w:rsidRPr="00303E9A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 OR Missing.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</w:p>
    <w:p w14:paraId="1AAD5AA3" w14:textId="77777777" w:rsidR="00995505" w:rsidRPr="00995505" w:rsidRDefault="00791337" w:rsidP="00303E9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The C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hief </w:t>
      </w:r>
      <w:r w:rsidR="00923D52"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P</w:t>
      </w:r>
      <w:r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erfusionist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will review the highest intraopera</w:t>
      </w:r>
      <w:r w:rsidR="00923D52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tive glucose values and ensure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that the metric was </w:t>
      </w:r>
      <w:r w:rsidR="00923D52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entered correctly and</w:t>
      </w:r>
      <w:r w:rsidR="00D733F9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compare how many cases met the glucose threshold of less than </w:t>
      </w:r>
      <w:r w:rsidR="007D0040"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180</w:t>
      </w:r>
      <w:r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mg/dL</w:t>
      </w:r>
      <w:r w:rsidR="00D733F9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. </w:t>
      </w:r>
    </w:p>
    <w:p w14:paraId="1EF4238B" w14:textId="77777777" w:rsidR="00995505" w:rsidRPr="00995505" w:rsidRDefault="007D0040" w:rsidP="00303E9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Once all records are completed, the Chief will</w:t>
      </w:r>
      <w:r w:rsidR="00791337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791337"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extract</w:t>
      </w:r>
      <w:r w:rsidRPr="00303E9A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 xml:space="preserve"> 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</w:t>
      </w:r>
      <w:r w:rsidR="00791337"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required</w:t>
      </w:r>
      <w:r w:rsidR="00791337" w:rsidRPr="00303E9A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 xml:space="preserve"> 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data using the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Hybrid 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Analytics tool</w:t>
      </w:r>
      <w:r w:rsidR="00EC76D6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and </w:t>
      </w:r>
      <w:r w:rsidR="00AE78E2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convert</w:t>
      </w:r>
      <w:r w:rsidR="00791337" w:rsidRPr="00303E9A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 xml:space="preserve"> </w:t>
      </w:r>
      <w:r w:rsidR="00995505" w:rsidRPr="00995505">
        <w:rPr>
          <w:rFonts w:ascii="Calibri" w:eastAsia="Times New Roman" w:hAnsi="Calibri" w:cs="Calibri"/>
          <w:color w:val="000000" w:themeColor="text1"/>
          <w:kern w:val="0"/>
          <w:sz w:val="26"/>
          <w:szCs w:val="26"/>
          <w14:ligatures w14:val="none"/>
        </w:rPr>
        <w:t>the data</w:t>
      </w:r>
      <w:r w:rsidR="00AE78E2" w:rsidRPr="00995505">
        <w:rPr>
          <w:rFonts w:ascii="Calibri" w:eastAsia="Times New Roman" w:hAnsi="Calibri" w:cs="Calibri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to a Microsoft E</w:t>
      </w:r>
      <w:r w:rsidR="00AE78E2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xcel file</w:t>
      </w:r>
      <w:r w:rsidR="008F4797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to review and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develop</w:t>
      </w:r>
      <w:r w:rsidR="00AD5BD8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graphs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. 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The graph</w:t>
      </w:r>
      <w:r w:rsidR="00AD5BD8"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s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 </w:t>
      </w:r>
      <w:r w:rsidR="00DF1AE3"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sh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ould show the total number of patients </w:t>
      </w:r>
      <w:r w:rsidR="00E70C30"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colle</w:t>
      </w:r>
      <w:r w:rsidR="00DF1AE3"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cted a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>nd how many of those patients had missing values or fallout values with</w:t>
      </w:r>
      <w:r w:rsidR="00791337"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 </w:t>
      </w:r>
      <w:r w:rsidR="00791337"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>blood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 glucose </w:t>
      </w:r>
      <w:r w:rsidR="00DF1AE3"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at or 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above </w:t>
      </w:r>
      <w:r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>180</w:t>
      </w:r>
      <w:r w:rsidR="00791337"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>mg/dL</w:t>
      </w:r>
      <w:r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 xml:space="preserve">. 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Another graph would display the number of patients maintaining </w:t>
      </w:r>
      <w:r w:rsidR="00791337"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>blood</w:t>
      </w:r>
      <w:r w:rsidR="00791337" w:rsidRPr="00995505">
        <w:rPr>
          <w:rFonts w:ascii="Calibri" w:eastAsia="Times New Roman" w:hAnsi="Calibri" w:cs="Calibri"/>
          <w:i/>
          <w:color w:val="FF0000"/>
          <w:kern w:val="0"/>
          <w:sz w:val="26"/>
          <w:szCs w:val="26"/>
          <w14:ligatures w14:val="none"/>
        </w:rPr>
        <w:t xml:space="preserve"> </w:t>
      </w:r>
      <w:r w:rsidRPr="00995505">
        <w:rPr>
          <w:rFonts w:ascii="Calibri" w:eastAsia="Times New Roman" w:hAnsi="Calibri" w:cs="Calibri"/>
          <w:i/>
          <w:color w:val="000000"/>
          <w:kern w:val="0"/>
          <w:sz w:val="26"/>
          <w:szCs w:val="26"/>
          <w14:ligatures w14:val="none"/>
        </w:rPr>
        <w:t xml:space="preserve">glucose values less than </w:t>
      </w:r>
      <w:r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>180</w:t>
      </w:r>
      <w:r w:rsidR="00791337"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>mg/dL</w:t>
      </w:r>
      <w:r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 xml:space="preserve"> intraoperatively</w:t>
      </w:r>
      <w:r w:rsidR="00791337" w:rsidRPr="00995505">
        <w:rPr>
          <w:rFonts w:ascii="Calibri" w:eastAsia="Times New Roman" w:hAnsi="Calibri" w:cs="Calibri"/>
          <w:i/>
          <w:kern w:val="0"/>
          <w:sz w:val="26"/>
          <w:szCs w:val="26"/>
          <w14:ligatures w14:val="none"/>
        </w:rPr>
        <w:t xml:space="preserve"> (defined as O.R. door-to-door)</w:t>
      </w:r>
      <w:r w:rsidRPr="00303E9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. </w:t>
      </w:r>
    </w:p>
    <w:p w14:paraId="2046A42D" w14:textId="77777777" w:rsidR="00995505" w:rsidRPr="00995505" w:rsidRDefault="00995505" w:rsidP="00303E9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Once the data are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prepared, a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cardiac 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team meeting will be scheduled. At this meeting, the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C</w:t>
      </w:r>
      <w:r w:rsidR="007D0040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hief would present the mined data from PERForm. The team would </w:t>
      </w:r>
      <w:r w:rsidR="0087467B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identify fallout cases and discuss how the patient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(s)</w:t>
      </w:r>
      <w:r w:rsidR="0087467B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might have been managed differently. </w:t>
      </w:r>
    </w:p>
    <w:p w14:paraId="1FF260E2" w14:textId="7E9FAAFF" w:rsidR="007D0040" w:rsidRPr="00303E9A" w:rsidRDefault="007D0040" w:rsidP="00303E9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</w:t>
      </w:r>
      <w:r w:rsidR="00791337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C</w:t>
      </w:r>
      <w:r w:rsidR="00923D52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hief P</w:t>
      </w:r>
      <w:r w:rsidR="00791337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erfusionist and Surgeon Champion</w:t>
      </w:r>
      <w:r w:rsidR="00DF1AE3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would sign the attached sheet verifying review of data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and submit to the MSTCVS QC, along with all </w:t>
      </w:r>
      <w:r w:rsidR="00DF1AE3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Microsoft E</w:t>
      </w:r>
      <w:r w:rsidR="00DF1AE3"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xcel 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data reports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and graphs </w:t>
      </w:r>
      <w:r w:rsidRPr="00303E9A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created by the chief.</w:t>
      </w:r>
    </w:p>
    <w:p w14:paraId="307B7387" w14:textId="77777777" w:rsidR="007D0040" w:rsidRPr="007D0040" w:rsidRDefault="007D0040" w:rsidP="007D00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F31EEF" w14:textId="5D166048" w:rsidR="001E07B8" w:rsidRDefault="007D0040" w:rsidP="007D004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Documentation: 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Each PERForm site will need to present a report derived from </w:t>
      </w:r>
      <w:r w:rsidR="00DF1AE3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the </w:t>
      </w:r>
      <w:r w:rsidR="00DF1AE3"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PERForm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Analytics Tool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as both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Microsoft 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xcel </w:t>
      </w:r>
      <w:r w:rsidR="00995505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work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sheets and graphs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, and Signature page</w:t>
      </w:r>
      <w:r w:rsidR="00923D52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for Chief Perfusionist and Surgeon C</w:t>
      </w:r>
      <w:r w:rsidR="00EC76D6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hampion</w:t>
      </w:r>
      <w:r w:rsidRPr="007D0040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.</w:t>
      </w:r>
    </w:p>
    <w:p w14:paraId="773112A0" w14:textId="77777777" w:rsidR="0087467B" w:rsidRDefault="0087467B" w:rsidP="007D004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</w:p>
    <w:p w14:paraId="16D9A89C" w14:textId="77777777" w:rsidR="00CB6F7E" w:rsidRDefault="007D0040" w:rsidP="00CB6F7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1E07B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  <w:r w:rsidR="001E07B8" w:rsidRPr="001E07B8">
        <w:rPr>
          <w:rFonts w:eastAsia="Times New Roman" w:cstheme="minorHAnsi"/>
          <w:b/>
          <w:i/>
          <w:color w:val="000000"/>
          <w:kern w:val="0"/>
          <w:sz w:val="28"/>
          <w:szCs w:val="28"/>
          <w14:ligatures w14:val="none"/>
        </w:rPr>
        <w:t>All documentation will nee</w:t>
      </w:r>
      <w:r w:rsidR="001E07B8">
        <w:rPr>
          <w:rFonts w:eastAsia="Times New Roman" w:cstheme="minorHAnsi"/>
          <w:b/>
          <w:i/>
          <w:color w:val="000000"/>
          <w:kern w:val="0"/>
          <w:sz w:val="28"/>
          <w:szCs w:val="28"/>
          <w14:ligatures w14:val="none"/>
        </w:rPr>
        <w:t>d to be submitted</w:t>
      </w:r>
      <w:r w:rsidR="00995505">
        <w:rPr>
          <w:rFonts w:eastAsia="Times New Roman" w:cstheme="minorHAnsi"/>
          <w:b/>
          <w:i/>
          <w:color w:val="000000"/>
          <w:kern w:val="0"/>
          <w:sz w:val="28"/>
          <w:szCs w:val="28"/>
          <w14:ligatures w14:val="none"/>
        </w:rPr>
        <w:t xml:space="preserve"> via email</w:t>
      </w:r>
      <w:r w:rsidR="001E07B8">
        <w:rPr>
          <w:rFonts w:eastAsia="Times New Roman" w:cstheme="minorHAnsi"/>
          <w:b/>
          <w:i/>
          <w:color w:val="000000"/>
          <w:kern w:val="0"/>
          <w:sz w:val="28"/>
          <w:szCs w:val="28"/>
          <w14:ligatures w14:val="none"/>
        </w:rPr>
        <w:t xml:space="preserve"> by </w:t>
      </w:r>
      <w:r w:rsidR="00923D52" w:rsidRPr="00923D52">
        <w:rPr>
          <w:rFonts w:eastAsia="Times New Roman" w:cstheme="minorHAnsi"/>
          <w:b/>
          <w:i/>
          <w:color w:val="FF0000"/>
          <w:kern w:val="0"/>
          <w:sz w:val="28"/>
          <w:szCs w:val="28"/>
          <w14:ligatures w14:val="none"/>
        </w:rPr>
        <w:t>12 pm (midnight) of</w:t>
      </w:r>
      <w:r w:rsidR="00923D52">
        <w:rPr>
          <w:rFonts w:eastAsia="Times New Roman" w:cstheme="minorHAnsi"/>
          <w:b/>
          <w:i/>
          <w:color w:val="000000"/>
          <w:kern w:val="0"/>
          <w:sz w:val="28"/>
          <w:szCs w:val="28"/>
          <w14:ligatures w14:val="none"/>
        </w:rPr>
        <w:t xml:space="preserve"> </w:t>
      </w:r>
      <w:r w:rsidR="001E07B8" w:rsidRPr="001E07B8">
        <w:rPr>
          <w:rFonts w:eastAsia="Times New Roman" w:cstheme="minorHAnsi"/>
          <w:b/>
          <w:i/>
          <w:color w:val="FF0000"/>
          <w:kern w:val="0"/>
          <w:sz w:val="28"/>
          <w:szCs w:val="28"/>
          <w14:ligatures w14:val="none"/>
        </w:rPr>
        <w:t>November 24,</w:t>
      </w:r>
      <w:r w:rsidR="001E07B8" w:rsidRPr="001E07B8">
        <w:rPr>
          <w:rFonts w:eastAsia="Times New Roman" w:cstheme="minorHAnsi"/>
          <w:b/>
          <w:i/>
          <w:color w:val="FF0000"/>
          <w:kern w:val="0"/>
          <w:sz w:val="28"/>
          <w:szCs w:val="28"/>
          <w:vertAlign w:val="superscript"/>
          <w14:ligatures w14:val="none"/>
        </w:rPr>
        <w:t xml:space="preserve"> </w:t>
      </w:r>
      <w:proofErr w:type="gramStart"/>
      <w:r w:rsidR="001E07B8" w:rsidRPr="001E07B8">
        <w:rPr>
          <w:rFonts w:eastAsia="Times New Roman" w:cstheme="minorHAnsi"/>
          <w:b/>
          <w:i/>
          <w:color w:val="FF0000"/>
          <w:kern w:val="0"/>
          <w:sz w:val="28"/>
          <w:szCs w:val="28"/>
          <w14:ligatures w14:val="none"/>
        </w:rPr>
        <w:t>2024</w:t>
      </w:r>
      <w:proofErr w:type="gramEnd"/>
      <w:r w:rsidR="001E07B8" w:rsidRPr="001E07B8">
        <w:rPr>
          <w:rFonts w:eastAsia="Times New Roman" w:cstheme="minorHAnsi"/>
          <w:b/>
          <w:i/>
          <w:kern w:val="0"/>
          <w:sz w:val="28"/>
          <w:szCs w:val="28"/>
          <w14:ligatures w14:val="none"/>
        </w:rPr>
        <w:t xml:space="preserve"> to </w:t>
      </w:r>
      <w:hyperlink r:id="rId5" w:history="1">
        <w:r w:rsidR="00923D52" w:rsidRPr="00C76A69">
          <w:rPr>
            <w:rStyle w:val="Hyperlink"/>
            <w:rFonts w:eastAsia="Times New Roman" w:cstheme="minorHAnsi"/>
            <w:b/>
            <w:i/>
            <w:kern w:val="0"/>
            <w:sz w:val="28"/>
            <w:szCs w:val="28"/>
            <w14:ligatures w14:val="none"/>
          </w:rPr>
          <w:t>dnieter@med.umich.edu</w:t>
        </w:r>
      </w:hyperlink>
      <w:r w:rsidR="00923D52" w:rsidRPr="00923D52">
        <w:rPr>
          <w:rFonts w:eastAsia="Times New Roman" w:cstheme="minorHAnsi"/>
          <w:b/>
          <w:i/>
          <w:kern w:val="0"/>
          <w:sz w:val="28"/>
          <w:szCs w:val="28"/>
          <w14:ligatures w14:val="none"/>
        </w:rPr>
        <w:t xml:space="preserve"> at</w:t>
      </w:r>
      <w:r w:rsidR="00923D52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14:ligatures w14:val="none"/>
        </w:rPr>
        <w:t xml:space="preserve"> </w:t>
      </w:r>
      <w:r w:rsidR="00923D52">
        <w:rPr>
          <w:rFonts w:eastAsia="Times New Roman" w:cstheme="minorHAnsi"/>
          <w:b/>
          <w:i/>
          <w:kern w:val="0"/>
          <w:sz w:val="28"/>
          <w:szCs w:val="28"/>
          <w14:ligatures w14:val="none"/>
        </w:rPr>
        <w:t xml:space="preserve">the </w:t>
      </w:r>
      <w:r w:rsidR="00923D52" w:rsidRPr="001E07B8">
        <w:rPr>
          <w:rFonts w:eastAsia="Times New Roman" w:cstheme="minorHAnsi"/>
          <w:b/>
          <w:i/>
          <w:kern w:val="0"/>
          <w:sz w:val="28"/>
          <w:szCs w:val="28"/>
          <w14:ligatures w14:val="none"/>
        </w:rPr>
        <w:t>MSTCVS Quality Collaborative</w:t>
      </w:r>
    </w:p>
    <w:p w14:paraId="5E2DBF3C" w14:textId="0F67A961" w:rsidR="007D0040" w:rsidRPr="00CB6F7E" w:rsidRDefault="007D0040" w:rsidP="00CB6F7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7D00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D00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C0E38C4" w14:textId="48E940E7" w:rsidR="007D0040" w:rsidRPr="007D0040" w:rsidRDefault="007D0040" w:rsidP="007D004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lastRenderedPageBreak/>
        <w:t>2024 Value Based Reimbursement Project:</w:t>
      </w: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PERForm Data Harvesting and Quality Improvement</w:t>
      </w:r>
      <w:r w:rsidR="00EC76D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Signature Page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4868"/>
      </w:tblGrid>
      <w:tr w:rsidR="00EC76D6" w:rsidRPr="007D0040" w14:paraId="2628E3B7" w14:textId="615638B5" w:rsidTr="00EC76D6">
        <w:trPr>
          <w:trHeight w:val="335"/>
        </w:trPr>
        <w:tc>
          <w:tcPr>
            <w:tcW w:w="461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741E" w14:textId="5B8528A4" w:rsidR="00EC76D6" w:rsidRPr="00EC76D6" w:rsidRDefault="00EC76D6" w:rsidP="007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Chief </w:t>
            </w:r>
            <w:r w:rsidRPr="00EC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Perfusionist Name: Print</w:t>
            </w:r>
          </w:p>
        </w:tc>
        <w:tc>
          <w:tcPr>
            <w:tcW w:w="48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9697" w14:textId="01D7D28D" w:rsidR="00EC76D6" w:rsidRPr="00EC76D6" w:rsidRDefault="00EC76D6" w:rsidP="007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Chief </w:t>
            </w:r>
            <w:r w:rsidRPr="00EC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Perfusionist Name: Signature</w:t>
            </w:r>
          </w:p>
        </w:tc>
      </w:tr>
      <w:tr w:rsidR="00EC76D6" w:rsidRPr="007D0040" w14:paraId="4E836E4D" w14:textId="76F820C6" w:rsidTr="00EC76D6">
        <w:trPr>
          <w:trHeight w:val="890"/>
        </w:trPr>
        <w:tc>
          <w:tcPr>
            <w:tcW w:w="461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BA8D" w14:textId="77777777" w:rsidR="00EC76D6" w:rsidRPr="007D0040" w:rsidRDefault="00EC76D6" w:rsidP="007D0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693E" w14:textId="77777777" w:rsidR="00EC76D6" w:rsidRPr="007D0040" w:rsidRDefault="00EC76D6" w:rsidP="007D0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76D6" w:rsidRPr="007D0040" w14:paraId="1DABC662" w14:textId="56BC521F" w:rsidTr="00EC76D6">
        <w:trPr>
          <w:trHeight w:val="212"/>
        </w:trPr>
        <w:tc>
          <w:tcPr>
            <w:tcW w:w="461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66B4" w14:textId="3C916F53" w:rsidR="00EC76D6" w:rsidRPr="00EC76D6" w:rsidRDefault="00EC76D6" w:rsidP="00EC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C76D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Surgeon Champion Name: Print</w:t>
            </w:r>
          </w:p>
        </w:tc>
        <w:tc>
          <w:tcPr>
            <w:tcW w:w="48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BBFD" w14:textId="65258CF6" w:rsidR="00EC76D6" w:rsidRPr="00EC76D6" w:rsidRDefault="00EC76D6" w:rsidP="00EC76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C76D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Surgeon Champion Name: Signature</w:t>
            </w:r>
          </w:p>
        </w:tc>
      </w:tr>
      <w:tr w:rsidR="00EC76D6" w:rsidRPr="007D0040" w14:paraId="4287CE7A" w14:textId="0BE7EEB5" w:rsidTr="00EC76D6">
        <w:trPr>
          <w:trHeight w:val="773"/>
        </w:trPr>
        <w:tc>
          <w:tcPr>
            <w:tcW w:w="461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5F89" w14:textId="77777777" w:rsidR="00EC76D6" w:rsidRPr="007D0040" w:rsidRDefault="00EC76D6" w:rsidP="007D0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04FA" w14:textId="77777777" w:rsidR="00EC76D6" w:rsidRPr="007D0040" w:rsidRDefault="00EC76D6" w:rsidP="007D0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76D6" w:rsidRPr="007D0040" w14:paraId="67D02576" w14:textId="060EE230" w:rsidTr="00EC76D6">
        <w:trPr>
          <w:trHeight w:val="218"/>
        </w:trPr>
        <w:tc>
          <w:tcPr>
            <w:tcW w:w="461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E81F" w14:textId="77777777" w:rsidR="00EC76D6" w:rsidRPr="007D0040" w:rsidRDefault="00EC76D6" w:rsidP="007D0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EA3E" w14:textId="77777777" w:rsidR="00EC76D6" w:rsidRPr="007D0040" w:rsidRDefault="00EC76D6" w:rsidP="007D0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093EFF" w14:textId="44F6E9C6" w:rsidR="007D0040" w:rsidRPr="007D0040" w:rsidRDefault="007D0040" w:rsidP="007D00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7E37B5F6" w14:textId="77777777" w:rsidR="006D7A90" w:rsidRDefault="006D7A90" w:rsidP="001D368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A23E4ED" w14:textId="77777777" w:rsidR="006D7A90" w:rsidRDefault="006D7A90" w:rsidP="007D0040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8805379" w14:textId="77777777" w:rsidR="006D7A90" w:rsidRDefault="006D7A90" w:rsidP="007D0040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467E69E" w14:textId="3E1220C7" w:rsidR="00A3045C" w:rsidRDefault="00A3045C" w:rsidP="007D0040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Perfusion</w:t>
      </w:r>
    </w:p>
    <w:p w14:paraId="5AA9713C" w14:textId="1790ADCA" w:rsidR="007D0040" w:rsidRPr="007D0040" w:rsidRDefault="007D0040" w:rsidP="007D00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A3045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P4P</w:t>
      </w:r>
      <w:r w:rsidRPr="007D004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Project:</w:t>
      </w: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PERForm Data Harvesting and Quality Improvement: Data Report</w:t>
      </w:r>
    </w:p>
    <w:p w14:paraId="3169F652" w14:textId="77777777" w:rsidR="007D0040" w:rsidRPr="007D0040" w:rsidRDefault="007D0040" w:rsidP="007D00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1B745E" w14:textId="77777777" w:rsidR="007D0040" w:rsidRPr="007D0040" w:rsidRDefault="007D0040" w:rsidP="007D00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Attach Data Reports Here </w:t>
      </w:r>
    </w:p>
    <w:p w14:paraId="3D4C060D" w14:textId="77777777" w:rsidR="007D0040" w:rsidRPr="007D0040" w:rsidRDefault="007D0040" w:rsidP="007D00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90FAA3" w14:textId="771CA4CE" w:rsidR="007D0040" w:rsidRPr="007D0040" w:rsidRDefault="007D0040" w:rsidP="007D00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-Percentage of Missingness for</w:t>
      </w:r>
      <w:r w:rsidR="00EC76D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Intraoperative Insulin Usage</w:t>
      </w:r>
      <w:r w:rsidR="0087467B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Table</w:t>
      </w:r>
      <w:r w:rsidR="00EC76D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, Highest Intraoperative Glucose, Cardiotomy Suction Used, and Timing for Cardiotomy Suction Termination</w:t>
      </w: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metric (</w:t>
      </w:r>
      <w:r w:rsidR="00EC76D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Excel Sheets</w:t>
      </w:r>
      <w:r w:rsidR="001D3688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and</w:t>
      </w:r>
      <w:r w:rsidR="00EC76D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1D3688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Graphs</w:t>
      </w: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5CEC17DB" w14:textId="7EEF4FBC" w:rsidR="007D0040" w:rsidRDefault="007D0040" w:rsidP="007D0040">
      <w:pPr>
        <w:spacing w:line="240" w:lineRule="auto"/>
        <w:ind w:left="720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7D004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- Graph showing </w:t>
      </w:r>
      <w:r w:rsidR="00EC76D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Intraoperative Glucose &gt;= 180mg/dL compared to Intraoperative Glucose &lt; 180mg/dL</w:t>
      </w:r>
    </w:p>
    <w:p w14:paraId="7A83C266" w14:textId="6830DC55" w:rsidR="00EC76D6" w:rsidRPr="007D0040" w:rsidRDefault="00EC76D6" w:rsidP="001E07B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06CBE" w14:textId="5B1A9E62" w:rsidR="006A0ED3" w:rsidRDefault="006A0ED3"/>
    <w:p w14:paraId="053D4C0A" w14:textId="4BA93FF6" w:rsidR="00995505" w:rsidRDefault="00995505"/>
    <w:p w14:paraId="4EEFAE7F" w14:textId="77777777" w:rsidR="00CB6F7E" w:rsidRDefault="00CB6F7E"/>
    <w:p w14:paraId="743F5C0B" w14:textId="77777777" w:rsidR="00CB6F7E" w:rsidRDefault="00CB6F7E"/>
    <w:p w14:paraId="1E10AAF3" w14:textId="77777777" w:rsidR="00995505" w:rsidRDefault="00995505"/>
    <w:p w14:paraId="00044E79" w14:textId="67E09A69" w:rsidR="00995505" w:rsidRDefault="00203A9E">
      <w:r>
        <w:rPr>
          <w:noProof/>
        </w:rPr>
        <w:lastRenderedPageBreak/>
        <w:drawing>
          <wp:inline distT="0" distB="0" distL="0" distR="0" wp14:anchorId="41D69D42" wp14:editId="7D60065A">
            <wp:extent cx="5172710" cy="1800225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2E7B2" w14:textId="77777777" w:rsidR="00995505" w:rsidRDefault="00995505"/>
    <w:p w14:paraId="31EB38AC" w14:textId="5E7E567C" w:rsidR="006A0ED3" w:rsidRDefault="006A0ED3">
      <w:r>
        <w:fldChar w:fldCharType="begin"/>
      </w:r>
      <w:r>
        <w:instrText xml:space="preserve"> LINK Excel.Sheet.12 "C:\\Users\\redbi\\Downloads\\Insulin_highest glucose.xlsx" "Sheet1!R1C1:R142C2" \a \f 4 \h </w:instrText>
      </w:r>
      <w:r w:rsidR="00995505">
        <w:instrText xml:space="preserve"> \* MERGEFORMAT </w:instrText>
      </w:r>
      <w:r>
        <w:fldChar w:fldCharType="separate"/>
      </w:r>
    </w:p>
    <w:p w14:paraId="11EC26DD" w14:textId="00511080" w:rsidR="005773D2" w:rsidRDefault="006A0ED3">
      <w:r>
        <w:fldChar w:fldCharType="end"/>
      </w:r>
      <w:r w:rsidR="00EE5AD1" w:rsidRPr="00EE5AD1">
        <w:rPr>
          <w:noProof/>
        </w:rPr>
        <w:t xml:space="preserve"> </w:t>
      </w:r>
    </w:p>
    <w:p w14:paraId="417FB559" w14:textId="225B66E5" w:rsidR="00EE5AD1" w:rsidRDefault="00EE5AD1">
      <w:r w:rsidRPr="00EE5AD1">
        <w:rPr>
          <w:noProof/>
        </w:rPr>
        <w:drawing>
          <wp:inline distT="0" distB="0" distL="0" distR="0" wp14:anchorId="278726C0" wp14:editId="615ED031">
            <wp:extent cx="5943600" cy="17456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ED3">
        <w:br w:type="page"/>
      </w:r>
    </w:p>
    <w:tbl>
      <w:tblPr>
        <w:tblW w:w="8904" w:type="dxa"/>
        <w:tblLook w:val="04A0" w:firstRow="1" w:lastRow="0" w:firstColumn="1" w:lastColumn="0" w:noHBand="0" w:noVBand="1"/>
      </w:tblPr>
      <w:tblGrid>
        <w:gridCol w:w="4477"/>
        <w:gridCol w:w="4427"/>
      </w:tblGrid>
      <w:tr w:rsidR="00EE5AD1" w:rsidRPr="005773D2" w14:paraId="210974B5" w14:textId="77777777" w:rsidTr="004F6F13">
        <w:trPr>
          <w:trHeight w:val="249"/>
        </w:trPr>
        <w:tc>
          <w:tcPr>
            <w:tcW w:w="447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5B5CF3B8" w14:textId="77777777" w:rsidR="00EE5AD1" w:rsidRPr="005773D2" w:rsidRDefault="00EE5AD1" w:rsidP="004F6F13">
            <w:pPr>
              <w:rPr>
                <w:b/>
                <w:bCs/>
              </w:rPr>
            </w:pPr>
            <w:r w:rsidRPr="005773D2">
              <w:rPr>
                <w:b/>
                <w:bCs/>
              </w:rPr>
              <w:lastRenderedPageBreak/>
              <w:t>Intraoperative Insulin Drip Used</w:t>
            </w:r>
          </w:p>
        </w:tc>
        <w:tc>
          <w:tcPr>
            <w:tcW w:w="442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17FEB243" w14:textId="77777777" w:rsidR="00EE5AD1" w:rsidRPr="005773D2" w:rsidRDefault="00EE5AD1" w:rsidP="004F6F13">
            <w:pPr>
              <w:rPr>
                <w:b/>
                <w:bCs/>
              </w:rPr>
            </w:pPr>
            <w:r w:rsidRPr="005773D2">
              <w:rPr>
                <w:b/>
                <w:bCs/>
              </w:rPr>
              <w:t>Highest Intraoperative Glucose</w:t>
            </w:r>
          </w:p>
        </w:tc>
      </w:tr>
      <w:tr w:rsidR="00EE5AD1" w:rsidRPr="005773D2" w14:paraId="69006D8F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EF85C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1A822A" w14:textId="77777777" w:rsidR="00EE5AD1" w:rsidRPr="005773D2" w:rsidRDefault="00EE5AD1" w:rsidP="004F6F13">
            <w:r w:rsidRPr="005773D2">
              <w:t>156</w:t>
            </w:r>
          </w:p>
        </w:tc>
      </w:tr>
      <w:tr w:rsidR="00EE5AD1" w:rsidRPr="005773D2" w14:paraId="760F12A7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7F1CC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83F9B3" w14:textId="77777777" w:rsidR="00EE5AD1" w:rsidRPr="005773D2" w:rsidRDefault="00EE5AD1" w:rsidP="004F6F13">
            <w:r w:rsidRPr="005773D2">
              <w:t>139</w:t>
            </w:r>
          </w:p>
        </w:tc>
      </w:tr>
      <w:tr w:rsidR="00EE5AD1" w:rsidRPr="005773D2" w14:paraId="2B679BA6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B8D93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831273" w14:textId="77777777" w:rsidR="00EE5AD1" w:rsidRPr="005773D2" w:rsidRDefault="00EE5AD1" w:rsidP="004F6F13">
            <w:r w:rsidRPr="005773D2">
              <w:t>167</w:t>
            </w:r>
          </w:p>
        </w:tc>
      </w:tr>
      <w:tr w:rsidR="00EE5AD1" w:rsidRPr="005773D2" w14:paraId="6C542EF0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AE8ED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5699B9" w14:textId="77777777" w:rsidR="00EE5AD1" w:rsidRPr="005773D2" w:rsidRDefault="00EE5AD1" w:rsidP="004F6F13">
            <w:r w:rsidRPr="005773D2">
              <w:t>159</w:t>
            </w:r>
          </w:p>
        </w:tc>
      </w:tr>
      <w:tr w:rsidR="00EE5AD1" w:rsidRPr="005773D2" w14:paraId="7471F64D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99A21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BAE863" w14:textId="77777777" w:rsidR="00EE5AD1" w:rsidRPr="005773D2" w:rsidRDefault="00EE5AD1" w:rsidP="004F6F13">
            <w:r w:rsidRPr="005773D2">
              <w:t>131</w:t>
            </w:r>
          </w:p>
        </w:tc>
      </w:tr>
      <w:tr w:rsidR="00EE5AD1" w:rsidRPr="005773D2" w14:paraId="4AD97E4F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02EE18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74EDF4" w14:textId="77777777" w:rsidR="00EE5AD1" w:rsidRPr="005773D2" w:rsidRDefault="00EE5AD1" w:rsidP="004F6F13">
            <w:r w:rsidRPr="005773D2">
              <w:t>161</w:t>
            </w:r>
          </w:p>
        </w:tc>
      </w:tr>
      <w:tr w:rsidR="00EE5AD1" w:rsidRPr="005773D2" w14:paraId="79F44702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F8048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790CFD" w14:textId="77777777" w:rsidR="00EE5AD1" w:rsidRPr="005773D2" w:rsidRDefault="00EE5AD1" w:rsidP="004F6F13">
            <w:r w:rsidRPr="005773D2">
              <w:t>144</w:t>
            </w:r>
          </w:p>
        </w:tc>
      </w:tr>
      <w:tr w:rsidR="00EE5AD1" w:rsidRPr="005773D2" w14:paraId="4A7D4E5C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516BB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55D946" w14:textId="77777777" w:rsidR="00EE5AD1" w:rsidRPr="005773D2" w:rsidRDefault="00EE5AD1" w:rsidP="004F6F13">
            <w:r w:rsidRPr="005773D2">
              <w:t>131</w:t>
            </w:r>
          </w:p>
        </w:tc>
      </w:tr>
      <w:tr w:rsidR="00EE5AD1" w:rsidRPr="005773D2" w14:paraId="074360FE" w14:textId="77777777" w:rsidTr="004F6F13">
        <w:trPr>
          <w:trHeight w:val="249"/>
        </w:trPr>
        <w:tc>
          <w:tcPr>
            <w:tcW w:w="44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40A0B" w14:textId="77777777" w:rsidR="00EE5AD1" w:rsidRPr="005773D2" w:rsidRDefault="00EE5AD1" w:rsidP="004F6F13">
            <w:r w:rsidRPr="005773D2">
              <w:t>Yes</w:t>
            </w:r>
          </w:p>
        </w:tc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72340C" w14:textId="77777777" w:rsidR="00EE5AD1" w:rsidRPr="005773D2" w:rsidRDefault="00EE5AD1" w:rsidP="004F6F13">
            <w:r w:rsidRPr="005773D2">
              <w:t>155</w:t>
            </w:r>
          </w:p>
        </w:tc>
      </w:tr>
    </w:tbl>
    <w:p w14:paraId="53CE0CE4" w14:textId="77777777" w:rsidR="00EE5AD1" w:rsidRDefault="00EE5AD1"/>
    <w:p w14:paraId="56EEE0DA" w14:textId="77777777" w:rsidR="00EE5AD1" w:rsidRDefault="00EE5AD1"/>
    <w:p w14:paraId="78C7C180" w14:textId="2FE0A7C3" w:rsidR="00EE5AD1" w:rsidRDefault="00EE5AD1">
      <w:r>
        <w:rPr>
          <w:noProof/>
        </w:rPr>
        <w:drawing>
          <wp:inline distT="0" distB="0" distL="0" distR="0" wp14:anchorId="5890AE18" wp14:editId="24E12F01">
            <wp:extent cx="5943600" cy="3157220"/>
            <wp:effectExtent l="0" t="0" r="0" b="5080"/>
            <wp:docPr id="16728833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A6100-16BC-0981-4466-94DC99E7DD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BE4436" w14:textId="77777777" w:rsidR="00EE5AD1" w:rsidRDefault="00EE5AD1"/>
    <w:p w14:paraId="50043124" w14:textId="77777777" w:rsidR="00EE5AD1" w:rsidRDefault="00EE5AD1"/>
    <w:p w14:paraId="21146131" w14:textId="77777777" w:rsidR="00EE5AD1" w:rsidRDefault="00EE5AD1"/>
    <w:p w14:paraId="56F8CD6C" w14:textId="4BDE0FE3" w:rsidR="00353322" w:rsidRDefault="00353322">
      <w:r>
        <w:fldChar w:fldCharType="begin"/>
      </w:r>
      <w:r>
        <w:instrText xml:space="preserve"> LINK Excel.Sheet.12 "C:\\Users\\redbi\\Downloads\\Cardiotomy suction and pump sucker termination.xlsx" "Sheet1!R1C1:R143C2" \a \f 4 \h </w:instrText>
      </w:r>
      <w:r w:rsidR="00995505">
        <w:instrText xml:space="preserve"> \* MERGEFORMAT </w:instrText>
      </w:r>
      <w:r>
        <w:fldChar w:fldCharType="separate"/>
      </w:r>
    </w:p>
    <w:p w14:paraId="1D3D33A9" w14:textId="23473680" w:rsidR="006A0ED3" w:rsidRDefault="00353322">
      <w:r>
        <w:fldChar w:fldCharType="end"/>
      </w:r>
    </w:p>
    <w:tbl>
      <w:tblPr>
        <w:tblW w:w="9434" w:type="dxa"/>
        <w:tblInd w:w="108" w:type="dxa"/>
        <w:tblLook w:val="04A0" w:firstRow="1" w:lastRow="0" w:firstColumn="1" w:lastColumn="0" w:noHBand="0" w:noVBand="1"/>
      </w:tblPr>
      <w:tblGrid>
        <w:gridCol w:w="3778"/>
        <w:gridCol w:w="5656"/>
      </w:tblGrid>
      <w:tr w:rsidR="00EE5AD1" w:rsidRPr="00353322" w14:paraId="4FC4BED9" w14:textId="77777777" w:rsidTr="006B7AB2">
        <w:trPr>
          <w:trHeight w:val="177"/>
        </w:trPr>
        <w:tc>
          <w:tcPr>
            <w:tcW w:w="377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4C1BBDA6" w14:textId="77777777" w:rsidR="00EE5AD1" w:rsidRPr="00353322" w:rsidRDefault="00EE5AD1" w:rsidP="006B7AB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Column1</w:t>
            </w:r>
          </w:p>
        </w:tc>
        <w:tc>
          <w:tcPr>
            <w:tcW w:w="565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5F475CEC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Column2</w:t>
            </w:r>
          </w:p>
        </w:tc>
      </w:tr>
      <w:tr w:rsidR="00EE5AD1" w:rsidRPr="00353322" w14:paraId="6B7A4F47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A6100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Cardiotomy Suction Y/N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C8127E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Timing of pump sucker termination</w:t>
            </w:r>
          </w:p>
        </w:tc>
      </w:tr>
      <w:tr w:rsidR="00EE5AD1" w:rsidRPr="00353322" w14:paraId="5BD189B1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03906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D87A1E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55FA0FDF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C3F5E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37BA7C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477840A9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FBC45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26903D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3766FD95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57EB1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EA2A56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5AD15AF4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B1CE4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300F8C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686CFE34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B2E77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524D51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0858606D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112AB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15F4AC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5B06B90A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7E57A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AB55C8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33462416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5973D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B7DA80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0A4C4B15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333B0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42BCA8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15357CDF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91423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B63C56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72093FF5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43162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E7432E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Prior to, or at initiation of, protamine delivery</w:t>
            </w:r>
          </w:p>
        </w:tc>
      </w:tr>
      <w:tr w:rsidR="00EE5AD1" w:rsidRPr="00353322" w14:paraId="416A6BE2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78AC5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C38FA4" w14:textId="77777777" w:rsidR="00EE5AD1" w:rsidRPr="00353322" w:rsidRDefault="00EE5AD1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5332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1-25% of protamine given</w:t>
            </w:r>
          </w:p>
        </w:tc>
      </w:tr>
      <w:tr w:rsidR="00203A9E" w:rsidRPr="00353322" w14:paraId="4AB1FACD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553C2717" w14:textId="77777777" w:rsidR="00203A9E" w:rsidRPr="00353322" w:rsidRDefault="00203A9E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7FB4807B" w14:textId="77777777" w:rsidR="00203A9E" w:rsidRPr="00353322" w:rsidRDefault="00203A9E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03A9E" w:rsidRPr="00353322" w14:paraId="3594197C" w14:textId="77777777" w:rsidTr="006B7AB2">
        <w:trPr>
          <w:trHeight w:val="177"/>
        </w:trPr>
        <w:tc>
          <w:tcPr>
            <w:tcW w:w="37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4053E20E" w14:textId="77777777" w:rsidR="00203A9E" w:rsidRPr="00353322" w:rsidRDefault="00203A9E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6D140F19" w14:textId="77777777" w:rsidR="00203A9E" w:rsidRPr="00353322" w:rsidRDefault="00203A9E" w:rsidP="006B7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D938FE" w14:textId="2F188E40" w:rsidR="00D87219" w:rsidRDefault="00203A9E">
      <w:r>
        <w:rPr>
          <w:noProof/>
        </w:rPr>
        <w:drawing>
          <wp:inline distT="0" distB="0" distL="0" distR="0" wp14:anchorId="5C15F34E" wp14:editId="6BAC400F">
            <wp:extent cx="5943600" cy="3472180"/>
            <wp:effectExtent l="0" t="0" r="0" b="13970"/>
            <wp:docPr id="14087736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426B8C9-146D-B204-386C-20BBD97A34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87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6286"/>
    <w:multiLevelType w:val="hybridMultilevel"/>
    <w:tmpl w:val="F7D6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2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40"/>
    <w:rsid w:val="0014665A"/>
    <w:rsid w:val="001D3688"/>
    <w:rsid w:val="001E07B8"/>
    <w:rsid w:val="002029FD"/>
    <w:rsid w:val="00203A9E"/>
    <w:rsid w:val="00257821"/>
    <w:rsid w:val="00303E9A"/>
    <w:rsid w:val="00335757"/>
    <w:rsid w:val="00353322"/>
    <w:rsid w:val="003732A4"/>
    <w:rsid w:val="00393D80"/>
    <w:rsid w:val="00394B30"/>
    <w:rsid w:val="003B343C"/>
    <w:rsid w:val="00421ACE"/>
    <w:rsid w:val="004A535C"/>
    <w:rsid w:val="004D424A"/>
    <w:rsid w:val="00536342"/>
    <w:rsid w:val="005773D2"/>
    <w:rsid w:val="00624D97"/>
    <w:rsid w:val="00674357"/>
    <w:rsid w:val="006A0ED3"/>
    <w:rsid w:val="006D7A90"/>
    <w:rsid w:val="00745FDD"/>
    <w:rsid w:val="0074790B"/>
    <w:rsid w:val="00755E57"/>
    <w:rsid w:val="00770CEE"/>
    <w:rsid w:val="00791337"/>
    <w:rsid w:val="007A740C"/>
    <w:rsid w:val="007C0EB9"/>
    <w:rsid w:val="007D0040"/>
    <w:rsid w:val="00845222"/>
    <w:rsid w:val="0087467B"/>
    <w:rsid w:val="00882D38"/>
    <w:rsid w:val="008F4797"/>
    <w:rsid w:val="00923D52"/>
    <w:rsid w:val="00995505"/>
    <w:rsid w:val="009A52FC"/>
    <w:rsid w:val="009B5872"/>
    <w:rsid w:val="009B5B0F"/>
    <w:rsid w:val="009C4F36"/>
    <w:rsid w:val="009D13BC"/>
    <w:rsid w:val="00A3045C"/>
    <w:rsid w:val="00A55611"/>
    <w:rsid w:val="00A8575D"/>
    <w:rsid w:val="00AD5BD8"/>
    <w:rsid w:val="00AE78E2"/>
    <w:rsid w:val="00AF5EA7"/>
    <w:rsid w:val="00BF44FD"/>
    <w:rsid w:val="00C42F13"/>
    <w:rsid w:val="00CB6F7E"/>
    <w:rsid w:val="00D733F9"/>
    <w:rsid w:val="00D74022"/>
    <w:rsid w:val="00D87219"/>
    <w:rsid w:val="00DF1AE3"/>
    <w:rsid w:val="00E70C30"/>
    <w:rsid w:val="00EC76D6"/>
    <w:rsid w:val="00EE5AD1"/>
    <w:rsid w:val="00F40E04"/>
    <w:rsid w:val="00F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B029"/>
  <w15:docId w15:val="{733C9CCF-4201-444D-86B1-AC57A4BB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D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dnieter@med.umich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463961235614768E-2"/>
          <c:y val="0.16930812550281577"/>
          <c:w val="0.91553603876438527"/>
          <c:h val="0.75748886678787031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'Metric Library'!$D$10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'Metric Library'!$A$11:$A$12</c:f>
              <c:strCache>
                <c:ptCount val="2"/>
                <c:pt idx="0">
                  <c:v>N=Glucose values &gt;= 180mg/dL</c:v>
                </c:pt>
                <c:pt idx="1">
                  <c:v>D=Glucose values &lt;180mg/dL</c:v>
                </c:pt>
              </c:strCache>
            </c:strRef>
          </c:cat>
          <c:val>
            <c:numRef>
              <c:f>'Metric Library'!$D$11:$D$12</c:f>
              <c:numCache>
                <c:formatCode>General</c:formatCode>
                <c:ptCount val="2"/>
                <c:pt idx="0">
                  <c:v>18</c:v>
                </c:pt>
                <c:pt idx="1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9-4472-982C-7030C7C5BB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0410656"/>
        <c:axId val="5404110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'Metric Library'!$B$10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'Metric Library'!$A$11:$A$12</c15:sqref>
                        </c15:formulaRef>
                      </c:ext>
                    </c:extLst>
                    <c:strCache>
                      <c:ptCount val="2"/>
                      <c:pt idx="0">
                        <c:v>N=Glucose values &gt;= 180mg/dL</c:v>
                      </c:pt>
                      <c:pt idx="1">
                        <c:v>D=Glucose values &lt;180mg/dL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'Metric Library'!$B$11:$B$12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C89-4472-982C-7030C7C5BB68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'Metric Library'!$C$10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'Metric Library'!$A$11:$A$12</c15:sqref>
                        </c15:formulaRef>
                      </c:ext>
                    </c:extLst>
                    <c:strCache>
                      <c:ptCount val="2"/>
                      <c:pt idx="0">
                        <c:v>N=Glucose values &gt;= 180mg/dL</c:v>
                      </c:pt>
                      <c:pt idx="1">
                        <c:v>D=Glucose values &lt;180mg/dL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'Metric Library'!$C$11:$C$12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9C89-4472-982C-7030C7C5BB68}"/>
                  </c:ext>
                </c:extLst>
              </c15:ser>
            </c15:filteredBarSeries>
          </c:ext>
        </c:extLst>
      </c:barChart>
      <c:catAx>
        <c:axId val="54041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0411048"/>
        <c:crosses val="autoZero"/>
        <c:auto val="1"/>
        <c:lblAlgn val="ctr"/>
        <c:lblOffset val="100"/>
        <c:noMultiLvlLbl val="0"/>
      </c:catAx>
      <c:valAx>
        <c:axId val="54041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041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Timing of cardiotomy suction</a:t>
            </a:r>
            <a:r>
              <a:rPr lang="en-US" baseline="0"/>
              <a:t> termination with initiation of protamine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DF-44B7-8415-E23668029B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DF-44B7-8415-E23668029B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Sheet2!$A$1:$B$1</c:f>
              <c:strCache>
                <c:ptCount val="2"/>
                <c:pt idx="0">
                  <c:v>prior or at initiation of protamine</c:v>
                </c:pt>
                <c:pt idx="1">
                  <c:v>after initiation of protamine</c:v>
                </c:pt>
              </c:strCache>
            </c:strRef>
          </c:cat>
          <c:val>
            <c:numRef>
              <c:f>Sheet2!$A$2:$B$2</c:f>
              <c:numCache>
                <c:formatCode>General</c:formatCode>
                <c:ptCount val="2"/>
                <c:pt idx="0">
                  <c:v>139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DF-44B7-8415-E23668029BE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Atwood</dc:creator>
  <cp:keywords/>
  <dc:description/>
  <cp:lastModifiedBy>Brittney Graebner</cp:lastModifiedBy>
  <cp:revision>2</cp:revision>
  <dcterms:created xsi:type="dcterms:W3CDTF">2023-11-02T17:27:00Z</dcterms:created>
  <dcterms:modified xsi:type="dcterms:W3CDTF">2023-11-02T17:27:00Z</dcterms:modified>
</cp:coreProperties>
</file>